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2F9" w:rsidRPr="00DC12F9" w:rsidRDefault="00DC12F9" w:rsidP="00DC12F9">
      <w:pPr>
        <w:shd w:val="clear" w:color="auto" w:fill="FFFFFF"/>
        <w:spacing w:before="100" w:beforeAutospacing="1" w:after="100" w:afterAutospacing="1" w:line="319" w:lineRule="atLeast"/>
        <w:outlineLvl w:val="1"/>
        <w:rPr>
          <w:rFonts w:ascii="Arial" w:eastAsia="Times New Roman" w:hAnsi="Arial" w:cs="Arial"/>
          <w:color w:val="333333"/>
          <w:sz w:val="29"/>
          <w:szCs w:val="29"/>
        </w:rPr>
      </w:pPr>
      <w:bookmarkStart w:id="0" w:name="_GoBack"/>
      <w:bookmarkEnd w:id="0"/>
      <w:r w:rsidRPr="00DC12F9">
        <w:rPr>
          <w:rFonts w:ascii="Arial" w:eastAsia="Times New Roman" w:hAnsi="Arial" w:cs="Arial"/>
          <w:color w:val="333333"/>
          <w:sz w:val="29"/>
          <w:szCs w:val="29"/>
        </w:rPr>
        <w:t>Accreditation Benchmarks</w:t>
      </w:r>
    </w:p>
    <w:tbl>
      <w:tblPr>
        <w:tblW w:w="4900" w:type="pct"/>
        <w:tblCellSpacing w:w="15" w:type="dxa"/>
        <w:tblBorders>
          <w:top w:val="single" w:sz="12" w:space="0" w:color="E2D7C5"/>
          <w:left w:val="single" w:sz="12" w:space="0" w:color="E2D7C5"/>
          <w:bottom w:val="single" w:sz="12" w:space="0" w:color="E2D7C5"/>
          <w:right w:val="single" w:sz="12" w:space="0" w:color="E2D7C5"/>
        </w:tblBorders>
        <w:shd w:val="clear" w:color="auto" w:fill="FFFFFF"/>
        <w:tblCellMar>
          <w:top w:w="15" w:type="dxa"/>
          <w:left w:w="15" w:type="dxa"/>
          <w:bottom w:w="15" w:type="dxa"/>
          <w:right w:w="15" w:type="dxa"/>
        </w:tblCellMar>
        <w:tblLook w:val="04A0" w:firstRow="1" w:lastRow="0" w:firstColumn="1" w:lastColumn="0" w:noHBand="0" w:noVBand="1"/>
      </w:tblPr>
      <w:tblGrid>
        <w:gridCol w:w="2303"/>
        <w:gridCol w:w="1365"/>
        <w:gridCol w:w="1573"/>
        <w:gridCol w:w="1365"/>
        <w:gridCol w:w="1366"/>
        <w:gridCol w:w="1465"/>
      </w:tblGrid>
      <w:tr w:rsidR="00DC12F9" w:rsidRPr="00DC12F9" w:rsidTr="00DC12F9">
        <w:trPr>
          <w:tblHeader/>
          <w:tblCellSpacing w:w="15" w:type="dxa"/>
        </w:trPr>
        <w:tc>
          <w:tcPr>
            <w:tcW w:w="0" w:type="auto"/>
            <w:gridSpan w:val="6"/>
            <w:tcBorders>
              <w:top w:val="nil"/>
              <w:left w:val="nil"/>
              <w:bottom w:val="nil"/>
              <w:right w:val="nil"/>
            </w:tcBorders>
            <w:shd w:val="clear" w:color="auto" w:fill="F3EECD"/>
            <w:tcMar>
              <w:top w:w="75" w:type="dxa"/>
              <w:left w:w="75" w:type="dxa"/>
              <w:bottom w:w="75" w:type="dxa"/>
              <w:right w:w="75" w:type="dxa"/>
            </w:tcMar>
            <w:vAlign w:val="center"/>
            <w:hideMark/>
          </w:tcPr>
          <w:p w:rsidR="00DC12F9" w:rsidRPr="00DC12F9" w:rsidRDefault="00DC12F9" w:rsidP="00DC12F9">
            <w:pPr>
              <w:pBdr>
                <w:top w:val="single" w:sz="12" w:space="2" w:color="E2D7C5"/>
                <w:left w:val="single" w:sz="12" w:space="2" w:color="E2D7C5"/>
                <w:bottom w:val="single" w:sz="12" w:space="2" w:color="E2D7C5"/>
                <w:right w:val="single" w:sz="12" w:space="2" w:color="E2D7C5"/>
              </w:pBdr>
              <w:spacing w:after="0" w:line="225" w:lineRule="atLeast"/>
              <w:rPr>
                <w:rFonts w:ascii="Arial" w:eastAsia="Times New Roman" w:hAnsi="Arial" w:cs="Arial"/>
                <w:color w:val="000000"/>
              </w:rPr>
            </w:pPr>
            <w:r w:rsidRPr="00DC12F9">
              <w:rPr>
                <w:rFonts w:ascii="Arial" w:eastAsia="Times New Roman" w:hAnsi="Arial" w:cs="Arial"/>
                <w:color w:val="000000"/>
              </w:rPr>
              <w:t xml:space="preserve">Accreditation Benchmarks (Adjusted Pass Rates) </w:t>
            </w:r>
          </w:p>
        </w:tc>
      </w:tr>
      <w:tr w:rsidR="00DC12F9" w:rsidRPr="00DC12F9" w:rsidTr="00DC12F9">
        <w:trPr>
          <w:tblHeade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3EECD"/>
            <w:tcMar>
              <w:top w:w="75" w:type="dxa"/>
              <w:left w:w="75" w:type="dxa"/>
              <w:bottom w:w="75" w:type="dxa"/>
              <w:right w:w="7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School Type or Grade Level</w:t>
            </w:r>
          </w:p>
        </w:tc>
        <w:tc>
          <w:tcPr>
            <w:tcW w:w="750" w:type="pct"/>
            <w:tcBorders>
              <w:top w:val="single" w:sz="12" w:space="0" w:color="E2D7C5"/>
              <w:left w:val="single" w:sz="12" w:space="0" w:color="E2D7C5"/>
              <w:bottom w:val="single" w:sz="12" w:space="0" w:color="E2D7C5"/>
              <w:right w:val="single" w:sz="12" w:space="0" w:color="E2D7C5"/>
            </w:tcBorders>
            <w:shd w:val="clear" w:color="auto" w:fill="F3EECD"/>
            <w:tcMar>
              <w:top w:w="75" w:type="dxa"/>
              <w:left w:w="75" w:type="dxa"/>
              <w:bottom w:w="75" w:type="dxa"/>
              <w:right w:w="7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English</w:t>
            </w:r>
          </w:p>
        </w:tc>
        <w:tc>
          <w:tcPr>
            <w:tcW w:w="750" w:type="pct"/>
            <w:tcBorders>
              <w:top w:val="single" w:sz="12" w:space="0" w:color="E2D7C5"/>
              <w:left w:val="single" w:sz="12" w:space="0" w:color="E2D7C5"/>
              <w:bottom w:val="single" w:sz="12" w:space="0" w:color="E2D7C5"/>
              <w:right w:val="single" w:sz="12" w:space="0" w:color="E2D7C5"/>
            </w:tcBorders>
            <w:shd w:val="clear" w:color="auto" w:fill="F3EECD"/>
            <w:tcMar>
              <w:top w:w="75" w:type="dxa"/>
              <w:left w:w="75" w:type="dxa"/>
              <w:bottom w:w="75" w:type="dxa"/>
              <w:right w:w="7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Mathematics</w:t>
            </w:r>
          </w:p>
        </w:tc>
        <w:tc>
          <w:tcPr>
            <w:tcW w:w="750" w:type="pct"/>
            <w:tcBorders>
              <w:top w:val="single" w:sz="12" w:space="0" w:color="E2D7C5"/>
              <w:left w:val="single" w:sz="12" w:space="0" w:color="E2D7C5"/>
              <w:bottom w:val="single" w:sz="12" w:space="0" w:color="E2D7C5"/>
              <w:right w:val="single" w:sz="12" w:space="0" w:color="E2D7C5"/>
            </w:tcBorders>
            <w:shd w:val="clear" w:color="auto" w:fill="F3EECD"/>
            <w:tcMar>
              <w:top w:w="75" w:type="dxa"/>
              <w:left w:w="75" w:type="dxa"/>
              <w:bottom w:w="75" w:type="dxa"/>
              <w:right w:w="7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Science</w:t>
            </w:r>
          </w:p>
        </w:tc>
        <w:tc>
          <w:tcPr>
            <w:tcW w:w="750" w:type="pct"/>
            <w:tcBorders>
              <w:top w:val="single" w:sz="12" w:space="0" w:color="E2D7C5"/>
              <w:left w:val="single" w:sz="12" w:space="0" w:color="E2D7C5"/>
              <w:bottom w:val="single" w:sz="12" w:space="0" w:color="E2D7C5"/>
              <w:right w:val="single" w:sz="12" w:space="0" w:color="E2D7C5"/>
            </w:tcBorders>
            <w:shd w:val="clear" w:color="auto" w:fill="F3EECD"/>
            <w:tcMar>
              <w:top w:w="75" w:type="dxa"/>
              <w:left w:w="75" w:type="dxa"/>
              <w:bottom w:w="75" w:type="dxa"/>
              <w:right w:w="7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History</w:t>
            </w:r>
          </w:p>
        </w:tc>
        <w:tc>
          <w:tcPr>
            <w:tcW w:w="750" w:type="pct"/>
            <w:tcBorders>
              <w:top w:val="single" w:sz="12" w:space="0" w:color="E2D7C5"/>
              <w:left w:val="single" w:sz="12" w:space="0" w:color="E2D7C5"/>
              <w:bottom w:val="single" w:sz="12" w:space="0" w:color="E2D7C5"/>
              <w:right w:val="single" w:sz="12" w:space="0" w:color="E2D7C5"/>
            </w:tcBorders>
            <w:shd w:val="clear" w:color="auto" w:fill="F3EECD"/>
            <w:tcMar>
              <w:top w:w="75" w:type="dxa"/>
              <w:left w:w="75" w:type="dxa"/>
              <w:bottom w:w="75" w:type="dxa"/>
              <w:right w:w="7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 xml:space="preserve">Graduation &amp; </w:t>
            </w:r>
            <w:r w:rsidRPr="00DC12F9">
              <w:rPr>
                <w:rFonts w:ascii="Arial" w:eastAsia="Times New Roman" w:hAnsi="Arial" w:cs="Arial"/>
                <w:b/>
                <w:bCs/>
                <w:color w:val="000000"/>
              </w:rPr>
              <w:br/>
              <w:t>Completion Index</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15" w:type="dxa"/>
              <w:left w:w="75" w:type="dxa"/>
              <w:bottom w:w="75" w:type="dxa"/>
              <w:right w:w="1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Elementary</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Not applicable</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15" w:type="dxa"/>
              <w:left w:w="75" w:type="dxa"/>
              <w:bottom w:w="75" w:type="dxa"/>
              <w:right w:w="1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Middle</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Not applicable</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15" w:type="dxa"/>
              <w:left w:w="75" w:type="dxa"/>
              <w:bottom w:w="75" w:type="dxa"/>
              <w:right w:w="15" w:type="dxa"/>
            </w:tcMar>
            <w:vAlign w:val="center"/>
            <w:hideMark/>
          </w:tcPr>
          <w:p w:rsidR="00DC12F9" w:rsidRPr="00DC12F9" w:rsidRDefault="00DC12F9" w:rsidP="00DC12F9">
            <w:pPr>
              <w:spacing w:after="0" w:line="225" w:lineRule="atLeast"/>
              <w:rPr>
                <w:rFonts w:ascii="Arial" w:eastAsia="Times New Roman" w:hAnsi="Arial" w:cs="Arial"/>
                <w:b/>
                <w:bCs/>
                <w:color w:val="000000"/>
              </w:rPr>
            </w:pPr>
            <w:r w:rsidRPr="00DC12F9">
              <w:rPr>
                <w:rFonts w:ascii="Arial" w:eastAsia="Times New Roman" w:hAnsi="Arial" w:cs="Arial"/>
                <w:b/>
                <w:bCs/>
                <w:color w:val="000000"/>
              </w:rPr>
              <w:t xml:space="preserve">High </w:t>
            </w:r>
            <w:r w:rsidRPr="00DC12F9">
              <w:rPr>
                <w:rFonts w:ascii="Arial" w:eastAsia="Times New Roman" w:hAnsi="Arial" w:cs="Arial"/>
                <w:b/>
                <w:bCs/>
                <w:color w:val="000000"/>
              </w:rPr>
              <w:br/>
            </w:r>
            <w:r w:rsidRPr="00DC12F9">
              <w:rPr>
                <w:rFonts w:ascii="Arial" w:eastAsia="Times New Roman" w:hAnsi="Arial" w:cs="Arial"/>
                <w:i/>
                <w:iCs/>
                <w:color w:val="000000"/>
              </w:rPr>
              <w:t>(includes schools with a graduation class)</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85 points</w:t>
            </w:r>
          </w:p>
        </w:tc>
      </w:tr>
    </w:tbl>
    <w:p w:rsidR="00DC12F9" w:rsidRPr="00DC12F9" w:rsidRDefault="00DC12F9" w:rsidP="00DC12F9">
      <w:pPr>
        <w:shd w:val="clear" w:color="auto" w:fill="FFFFFF"/>
        <w:spacing w:before="100" w:beforeAutospacing="1" w:after="100" w:afterAutospacing="1" w:line="319" w:lineRule="atLeast"/>
        <w:outlineLvl w:val="1"/>
        <w:rPr>
          <w:rFonts w:ascii="Arial" w:eastAsia="Times New Roman" w:hAnsi="Arial" w:cs="Arial"/>
          <w:color w:val="333333"/>
          <w:sz w:val="29"/>
          <w:szCs w:val="29"/>
        </w:rPr>
      </w:pPr>
      <w:bookmarkStart w:id="1" w:name="descriptions"/>
      <w:bookmarkEnd w:id="1"/>
      <w:r w:rsidRPr="00DC12F9">
        <w:rPr>
          <w:rFonts w:ascii="Arial" w:eastAsia="Times New Roman" w:hAnsi="Arial" w:cs="Arial"/>
          <w:color w:val="333333"/>
          <w:sz w:val="29"/>
          <w:szCs w:val="29"/>
        </w:rPr>
        <w:t>Rating Descriptions</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School accreditation ratings for 2013-2014 are based on student achievement on Standards of Learning (SOL) tests and other tests in English, mathematics, history/social science and science administered during 2012-2013 or on overall achievement during the three most recent years. The results of tests administered in each subject area are combined to produce overall passing percentages in English, mathematics, history/social science and science. </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Accreditation ratings also reflect adjustments made for schools that successfully remediate students who initially fail reading or mathematics tests. Adjustments also may be made for students with limited English proficiency and for students who have recently transferred into a Virginia public school. All of these factors are taken into account in calculating pass rates in each subject area.</w:t>
      </w:r>
    </w:p>
    <w:p w:rsidR="00DC12F9" w:rsidRPr="00DC12F9" w:rsidRDefault="00DC12F9" w:rsidP="00DC12F9">
      <w:pPr>
        <w:shd w:val="clear" w:color="auto" w:fill="FFFFFF"/>
        <w:spacing w:before="100" w:beforeAutospacing="1" w:after="100" w:afterAutospacing="1" w:line="319" w:lineRule="atLeast"/>
        <w:outlineLvl w:val="2"/>
        <w:rPr>
          <w:rFonts w:ascii="Arial" w:eastAsia="Times New Roman" w:hAnsi="Arial" w:cs="Arial"/>
          <w:b/>
          <w:bCs/>
          <w:color w:val="333333"/>
          <w:sz w:val="21"/>
          <w:szCs w:val="21"/>
        </w:rPr>
      </w:pPr>
      <w:r w:rsidRPr="00DC12F9">
        <w:rPr>
          <w:rFonts w:ascii="Arial" w:eastAsia="Times New Roman" w:hAnsi="Arial" w:cs="Arial"/>
          <w:b/>
          <w:bCs/>
          <w:color w:val="333333"/>
          <w:sz w:val="21"/>
          <w:szCs w:val="21"/>
        </w:rPr>
        <w:t>Fully Accredited</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Elementary and middle schools are Fully Accredited if students achieve all of the following pass rates: </w:t>
      </w:r>
    </w:p>
    <w:p w:rsidR="00DC12F9" w:rsidRPr="00DC12F9" w:rsidRDefault="00DC12F9" w:rsidP="00DC12F9">
      <w:pPr>
        <w:numPr>
          <w:ilvl w:val="0"/>
          <w:numId w:val="1"/>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English – 75 percent or higher </w:t>
      </w:r>
    </w:p>
    <w:p w:rsidR="00DC12F9" w:rsidRPr="00DC12F9" w:rsidRDefault="00DC12F9" w:rsidP="00DC12F9">
      <w:pPr>
        <w:numPr>
          <w:ilvl w:val="0"/>
          <w:numId w:val="1"/>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Mathematics – 70 percent or higher </w:t>
      </w:r>
    </w:p>
    <w:p w:rsidR="00DC12F9" w:rsidRPr="00DC12F9" w:rsidRDefault="00DC12F9" w:rsidP="00DC12F9">
      <w:pPr>
        <w:numPr>
          <w:ilvl w:val="0"/>
          <w:numId w:val="1"/>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Science – 70 percent or higher </w:t>
      </w:r>
    </w:p>
    <w:p w:rsidR="00DC12F9" w:rsidRPr="00DC12F9" w:rsidRDefault="00DC12F9" w:rsidP="00DC12F9">
      <w:pPr>
        <w:numPr>
          <w:ilvl w:val="0"/>
          <w:numId w:val="1"/>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History – 70 percent or higher </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High schools are </w:t>
      </w:r>
      <w:proofErr w:type="gramStart"/>
      <w:r w:rsidRPr="00DC12F9">
        <w:rPr>
          <w:rFonts w:ascii="Arial" w:eastAsia="Times New Roman" w:hAnsi="Arial" w:cs="Arial"/>
          <w:color w:val="000000"/>
          <w:sz w:val="19"/>
          <w:szCs w:val="19"/>
        </w:rPr>
        <w:t>Fully</w:t>
      </w:r>
      <w:proofErr w:type="gramEnd"/>
      <w:r w:rsidRPr="00DC12F9">
        <w:rPr>
          <w:rFonts w:ascii="Arial" w:eastAsia="Times New Roman" w:hAnsi="Arial" w:cs="Arial"/>
          <w:color w:val="000000"/>
          <w:sz w:val="19"/>
          <w:szCs w:val="19"/>
        </w:rPr>
        <w:t xml:space="preserve"> Accredited if: </w:t>
      </w:r>
    </w:p>
    <w:p w:rsidR="00DC12F9" w:rsidRPr="00DC12F9" w:rsidRDefault="00DC12F9" w:rsidP="00DC12F9">
      <w:pPr>
        <w:numPr>
          <w:ilvl w:val="0"/>
          <w:numId w:val="2"/>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lastRenderedPageBreak/>
        <w:t xml:space="preserve">Students achieve pass rates of 75 percent or higher in English and 70 percent or higher in mathematics, science and history; and </w:t>
      </w:r>
    </w:p>
    <w:p w:rsidR="00DC12F9" w:rsidRPr="00DC12F9" w:rsidRDefault="00DC12F9" w:rsidP="00DC12F9">
      <w:pPr>
        <w:numPr>
          <w:ilvl w:val="0"/>
          <w:numId w:val="2"/>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Attain a point value of 85 or greater based on the Graduation and Completion Index (GCI).</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Virginia’s accountability system allows high-performing schools – those that maintain pass rates of 95 percent or higher in all four core academic areas for two consecutive years – to apply for a waiver from annual accreditation. Schools awarded waivers are rated as Fully Accredited for a three-year period.</w:t>
      </w:r>
    </w:p>
    <w:p w:rsidR="00DC12F9" w:rsidRPr="00DC12F9" w:rsidRDefault="00DC12F9" w:rsidP="00DC12F9">
      <w:pPr>
        <w:shd w:val="clear" w:color="auto" w:fill="FFFFFF"/>
        <w:spacing w:before="100" w:beforeAutospacing="1" w:after="100" w:afterAutospacing="1" w:line="319" w:lineRule="atLeast"/>
        <w:outlineLvl w:val="2"/>
        <w:rPr>
          <w:rFonts w:ascii="Arial" w:eastAsia="Times New Roman" w:hAnsi="Arial" w:cs="Arial"/>
          <w:b/>
          <w:bCs/>
          <w:color w:val="333333"/>
          <w:sz w:val="21"/>
          <w:szCs w:val="21"/>
        </w:rPr>
      </w:pPr>
      <w:r w:rsidRPr="00DC12F9">
        <w:rPr>
          <w:rFonts w:ascii="Arial" w:eastAsia="Times New Roman" w:hAnsi="Arial" w:cs="Arial"/>
          <w:b/>
          <w:bCs/>
          <w:color w:val="333333"/>
          <w:sz w:val="21"/>
          <w:szCs w:val="21"/>
        </w:rPr>
        <w:t>Provisionally Accredited-Graduation Rate</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 high school or combined school with a graduating class is Provisionally Accredited-Graduation Rate if students achieve adjusted pass rates of 75 percent or more in English and 70 percent or more in mathematics, science and history, and a GCI of 82 to 84 points. Schools with a rating of Provisionally Accredited-Graduation Rate are subject to academic reviews. Elementary and middle schools are not eligible for provisional accreditation. </w:t>
      </w:r>
    </w:p>
    <w:p w:rsidR="00DC12F9" w:rsidRPr="00DC12F9" w:rsidRDefault="00DC12F9" w:rsidP="00DC12F9">
      <w:pPr>
        <w:shd w:val="clear" w:color="auto" w:fill="FFFFFF"/>
        <w:spacing w:before="100" w:beforeAutospacing="1" w:after="100" w:afterAutospacing="1" w:line="319" w:lineRule="atLeast"/>
        <w:outlineLvl w:val="2"/>
        <w:rPr>
          <w:rFonts w:ascii="Arial" w:eastAsia="Times New Roman" w:hAnsi="Arial" w:cs="Arial"/>
          <w:b/>
          <w:bCs/>
          <w:color w:val="333333"/>
          <w:sz w:val="21"/>
          <w:szCs w:val="21"/>
        </w:rPr>
      </w:pPr>
      <w:r w:rsidRPr="00DC12F9">
        <w:rPr>
          <w:rFonts w:ascii="Arial" w:eastAsia="Times New Roman" w:hAnsi="Arial" w:cs="Arial"/>
          <w:b/>
          <w:bCs/>
          <w:color w:val="333333"/>
          <w:sz w:val="21"/>
          <w:szCs w:val="21"/>
        </w:rPr>
        <w:t>Accredited with Warning</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 school receives this rating if pass rates are below the achievement levels required for full accreditation. Schools that are </w:t>
      </w:r>
      <w:proofErr w:type="gramStart"/>
      <w:r w:rsidRPr="00DC12F9">
        <w:rPr>
          <w:rFonts w:ascii="Arial" w:eastAsia="Times New Roman" w:hAnsi="Arial" w:cs="Arial"/>
          <w:color w:val="000000"/>
          <w:sz w:val="19"/>
          <w:szCs w:val="19"/>
        </w:rPr>
        <w:t>Accredited</w:t>
      </w:r>
      <w:proofErr w:type="gramEnd"/>
      <w:r w:rsidRPr="00DC12F9">
        <w:rPr>
          <w:rFonts w:ascii="Arial" w:eastAsia="Times New Roman" w:hAnsi="Arial" w:cs="Arial"/>
          <w:color w:val="000000"/>
          <w:sz w:val="19"/>
          <w:szCs w:val="19"/>
        </w:rPr>
        <w:t xml:space="preserve"> with Warning undergo academic reviews and are required to adopt and implement school improvement plans. Schools that are </w:t>
      </w:r>
      <w:proofErr w:type="gramStart"/>
      <w:r w:rsidRPr="00DC12F9">
        <w:rPr>
          <w:rFonts w:ascii="Arial" w:eastAsia="Times New Roman" w:hAnsi="Arial" w:cs="Arial"/>
          <w:color w:val="000000"/>
          <w:sz w:val="19"/>
          <w:szCs w:val="19"/>
        </w:rPr>
        <w:t>Accredited</w:t>
      </w:r>
      <w:proofErr w:type="gramEnd"/>
      <w:r w:rsidRPr="00DC12F9">
        <w:rPr>
          <w:rFonts w:ascii="Arial" w:eastAsia="Times New Roman" w:hAnsi="Arial" w:cs="Arial"/>
          <w:color w:val="000000"/>
          <w:sz w:val="19"/>
          <w:szCs w:val="19"/>
        </w:rPr>
        <w:t xml:space="preserve"> with Warning in English and/or mathematics also are required to adopt instructional programs proven by research to be effective in raising achievement in these subjects. A school may hold this rating for no more than three consecutive years. </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In addition, high schools earning a GCI less than the provisional benchmark for the year are rated as Accredited with Warning.</w:t>
      </w:r>
    </w:p>
    <w:p w:rsidR="00DC12F9" w:rsidRPr="00DC12F9" w:rsidRDefault="00DC12F9" w:rsidP="00DC12F9">
      <w:pPr>
        <w:shd w:val="clear" w:color="auto" w:fill="FFFFFF"/>
        <w:spacing w:before="100" w:beforeAutospacing="1" w:after="100" w:afterAutospacing="1" w:line="319" w:lineRule="atLeast"/>
        <w:outlineLvl w:val="2"/>
        <w:rPr>
          <w:rFonts w:ascii="Arial" w:eastAsia="Times New Roman" w:hAnsi="Arial" w:cs="Arial"/>
          <w:b/>
          <w:bCs/>
          <w:color w:val="333333"/>
          <w:sz w:val="21"/>
          <w:szCs w:val="21"/>
        </w:rPr>
      </w:pPr>
      <w:r w:rsidRPr="00DC12F9">
        <w:rPr>
          <w:rFonts w:ascii="Arial" w:eastAsia="Times New Roman" w:hAnsi="Arial" w:cs="Arial"/>
          <w:b/>
          <w:bCs/>
          <w:color w:val="333333"/>
          <w:sz w:val="21"/>
          <w:szCs w:val="21"/>
        </w:rPr>
        <w:t>Accreditation Denied</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 school is denied accreditation if it fails to meet the requirements to be rated fully accredited for four consecutive years. Any school denied accreditation must provide parents and other interested parties the following: </w:t>
      </w:r>
    </w:p>
    <w:p w:rsidR="00DC12F9" w:rsidRPr="00DC12F9" w:rsidRDefault="00DC12F9" w:rsidP="00DC12F9">
      <w:pPr>
        <w:numPr>
          <w:ilvl w:val="0"/>
          <w:numId w:val="3"/>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Written notice of the school’s accreditation rating within 30 calendar days of the announcement of the rating by the Virginia Department of Education (VDOE); </w:t>
      </w:r>
    </w:p>
    <w:p w:rsidR="00DC12F9" w:rsidRPr="00DC12F9" w:rsidRDefault="00DC12F9" w:rsidP="00DC12F9">
      <w:pPr>
        <w:numPr>
          <w:ilvl w:val="0"/>
          <w:numId w:val="3"/>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 copy of the school division’s proposed corrective action plan describing the steps to be taken to raise achievement to state standards, including a timeline for implementation; and </w:t>
      </w:r>
    </w:p>
    <w:p w:rsidR="00DC12F9" w:rsidRPr="00DC12F9" w:rsidRDefault="00DC12F9" w:rsidP="00DC12F9">
      <w:pPr>
        <w:numPr>
          <w:ilvl w:val="0"/>
          <w:numId w:val="3"/>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lastRenderedPageBreak/>
        <w:t xml:space="preserve">An opportunity to comment on the division’s proposed corrective action plan prior to its adoption and the signing of a memorandum of understanding between the local school board and the Board of Education. </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The local school board – within 45 days of receiving notice of the status – must submit to the Board of Education a proposed corrective action plan. The Board of Education will consider the proposal and develop a memorandum of understanding with the local school board, which must be implemented by November 1.</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Also, the local school board must submit status reports detailing the implementation of actions prescribed in the memorandum of understanding; and the principal, division superintendent and local school board chairman may be required to appear before the Board of Education to present status reports.</w:t>
      </w:r>
    </w:p>
    <w:p w:rsidR="00DC12F9" w:rsidRPr="00DC12F9" w:rsidRDefault="00DC12F9" w:rsidP="00DC12F9">
      <w:pPr>
        <w:shd w:val="clear" w:color="auto" w:fill="FFFFFF"/>
        <w:spacing w:after="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Additionally, in any school division where one-third or more of the schools have been denied accreditation, the local school board is required to evaluate the division superintendent and submit a copy of the evaluation to the Board of Education by December 1. The Board of Education may take action – as permitted by the Standards of Quality – against the local school board due to the failure of the local board to maintain accredited schools. </w:t>
      </w:r>
    </w:p>
    <w:p w:rsidR="00DC12F9" w:rsidRPr="00DC12F9" w:rsidRDefault="00DC12F9" w:rsidP="00DC12F9">
      <w:pPr>
        <w:shd w:val="clear" w:color="auto" w:fill="FFFFFF"/>
        <w:spacing w:before="100" w:beforeAutospacing="1" w:after="100" w:afterAutospacing="1" w:line="319" w:lineRule="atLeast"/>
        <w:outlineLvl w:val="2"/>
        <w:rPr>
          <w:rFonts w:ascii="Arial" w:eastAsia="Times New Roman" w:hAnsi="Arial" w:cs="Arial"/>
          <w:b/>
          <w:bCs/>
          <w:color w:val="333333"/>
          <w:sz w:val="21"/>
          <w:szCs w:val="21"/>
        </w:rPr>
      </w:pPr>
      <w:r w:rsidRPr="00DC12F9">
        <w:rPr>
          <w:rFonts w:ascii="Arial" w:eastAsia="Times New Roman" w:hAnsi="Arial" w:cs="Arial"/>
          <w:b/>
          <w:bCs/>
          <w:color w:val="333333"/>
          <w:sz w:val="21"/>
          <w:szCs w:val="21"/>
        </w:rPr>
        <w:t>Conditionally Accredited</w:t>
      </w:r>
    </w:p>
    <w:p w:rsidR="00DC12F9" w:rsidRPr="00DC12F9" w:rsidRDefault="00DC12F9" w:rsidP="00DC12F9">
      <w:pPr>
        <w:shd w:val="clear" w:color="auto" w:fill="FFFFFF"/>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There are two types of Conditionally Accredited schools: </w:t>
      </w:r>
    </w:p>
    <w:p w:rsidR="00DC12F9" w:rsidRPr="00DC12F9" w:rsidRDefault="00DC12F9" w:rsidP="00DC12F9">
      <w:pPr>
        <w:numPr>
          <w:ilvl w:val="0"/>
          <w:numId w:val="5"/>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Conditionally Accredited-New is awarded for a one-year period to a new school – comprising students who previously attended one or more existing schools – to provide the opportunity to evaluate the performance of students on SOL tests and other statewide assessments. </w:t>
      </w:r>
    </w:p>
    <w:p w:rsidR="00DC12F9" w:rsidRPr="00DC12F9" w:rsidRDefault="00DC12F9" w:rsidP="00DC12F9">
      <w:pPr>
        <w:numPr>
          <w:ilvl w:val="0"/>
          <w:numId w:val="5"/>
        </w:numPr>
        <w:shd w:val="clear" w:color="auto" w:fill="FFFFFF"/>
        <w:spacing w:before="100" w:beforeAutospacing="1" w:after="100" w:afterAutospacing="1" w:line="300" w:lineRule="atLeast"/>
        <w:ind w:left="2951"/>
        <w:rPr>
          <w:rFonts w:ascii="Arial" w:eastAsia="Times New Roman" w:hAnsi="Arial" w:cs="Arial"/>
          <w:color w:val="000000"/>
          <w:sz w:val="19"/>
          <w:szCs w:val="19"/>
        </w:rPr>
      </w:pPr>
      <w:r w:rsidRPr="00DC12F9">
        <w:rPr>
          <w:rFonts w:ascii="Arial" w:eastAsia="Times New Roman" w:hAnsi="Arial" w:cs="Arial"/>
          <w:color w:val="000000"/>
          <w:sz w:val="19"/>
          <w:szCs w:val="19"/>
        </w:rPr>
        <w:t>Conditionally Accredited-Reconstituted is awarded to a school that fails to meet full accreditation requirements for four consecutive years and receives permission from the Board of Education to reconstitute as an alternative to a memorandum of understanding. A reconstituted school reverts to accreditation-denied status if it fails to meet full accreditation requirements within the agreed-upon term, or if it fails to have its annual application for Conditional Accreditation renewed.</w:t>
      </w:r>
    </w:p>
    <w:p w:rsidR="00DC12F9" w:rsidRPr="00DC12F9" w:rsidRDefault="00DC12F9" w:rsidP="00DC12F9">
      <w:pPr>
        <w:shd w:val="clear" w:color="auto" w:fill="E2E0E9"/>
        <w:spacing w:before="100" w:beforeAutospacing="1" w:after="100" w:afterAutospacing="1" w:line="319" w:lineRule="atLeast"/>
        <w:outlineLvl w:val="2"/>
        <w:rPr>
          <w:rFonts w:ascii="Arial" w:eastAsia="Times New Roman" w:hAnsi="Arial" w:cs="Arial"/>
          <w:b/>
          <w:bCs/>
          <w:color w:val="333333"/>
          <w:sz w:val="21"/>
          <w:szCs w:val="21"/>
        </w:rPr>
      </w:pPr>
      <w:bookmarkStart w:id="2" w:name="graduation"/>
      <w:bookmarkEnd w:id="2"/>
      <w:r w:rsidRPr="00DC12F9">
        <w:rPr>
          <w:rFonts w:ascii="Arial" w:eastAsia="Times New Roman" w:hAnsi="Arial" w:cs="Arial"/>
          <w:b/>
          <w:bCs/>
          <w:color w:val="333333"/>
          <w:sz w:val="21"/>
          <w:szCs w:val="21"/>
        </w:rPr>
        <w:t xml:space="preserve">Graduation &amp; Completion Index – Accreditation Factor for High Schools </w:t>
      </w:r>
    </w:p>
    <w:p w:rsidR="00DC12F9" w:rsidRPr="00DC12F9" w:rsidRDefault="00DC12F9" w:rsidP="00DC12F9">
      <w:pPr>
        <w:shd w:val="clear" w:color="auto" w:fill="E2E0E9"/>
        <w:spacing w:before="135" w:after="9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Accreditation ratings for high schools include a Graduation and Completion Index (GCI). This accountability measure was approved by the Board of Education in 2009. The GCI calculation awards full credit for students who earn a Board of Education-approved diploma and partial credit for other outcomes, as displayed in the table below. </w:t>
      </w:r>
    </w:p>
    <w:p w:rsidR="00DC12F9" w:rsidRPr="00DC12F9" w:rsidRDefault="00DC12F9" w:rsidP="00DC12F9">
      <w:pPr>
        <w:shd w:val="clear" w:color="auto" w:fill="E2E0E9"/>
        <w:spacing w:before="135" w:after="15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The GCI calculation comprises students in the cohort of expected on-time graduates (students who were first-time ninth graders four years ago, plus transfers in and minus transfers out) and students carried over from previous cohorts. A student earning a diploma who entered ninth grade for the first time five years ago is an example of a carryover student. Carryover students are included in annual GCI calculations until they graduate </w:t>
      </w:r>
      <w:r w:rsidRPr="00DC12F9">
        <w:rPr>
          <w:rFonts w:ascii="Arial" w:eastAsia="Times New Roman" w:hAnsi="Arial" w:cs="Arial"/>
          <w:color w:val="000000"/>
          <w:sz w:val="19"/>
          <w:szCs w:val="19"/>
        </w:rPr>
        <w:lastRenderedPageBreak/>
        <w:t xml:space="preserve">or otherwise leave school. Students with disabilities and limited-English proficient students are included in the GCI calculation when they earn a diploma, GED or certificate of completion; drop out or otherwise exit high school; or are no longer eligible for free public education services. </w:t>
      </w:r>
    </w:p>
    <w:tbl>
      <w:tblPr>
        <w:tblW w:w="4800" w:type="pct"/>
        <w:tblCellSpacing w:w="15" w:type="dxa"/>
        <w:tblBorders>
          <w:top w:val="single" w:sz="12" w:space="0" w:color="E2D7C5"/>
          <w:left w:val="single" w:sz="12" w:space="0" w:color="E2D7C5"/>
          <w:bottom w:val="single" w:sz="12" w:space="0" w:color="E2D7C5"/>
          <w:right w:val="single" w:sz="12" w:space="0" w:color="E2D7C5"/>
        </w:tblBorders>
        <w:shd w:val="clear" w:color="auto" w:fill="FFFFFF"/>
        <w:tblCellMar>
          <w:top w:w="15" w:type="dxa"/>
          <w:left w:w="15" w:type="dxa"/>
          <w:bottom w:w="15" w:type="dxa"/>
          <w:right w:w="15" w:type="dxa"/>
        </w:tblCellMar>
        <w:tblLook w:val="04A0" w:firstRow="1" w:lastRow="0" w:firstColumn="1" w:lastColumn="0" w:noHBand="0" w:noVBand="1"/>
      </w:tblPr>
      <w:tblGrid>
        <w:gridCol w:w="6262"/>
        <w:gridCol w:w="2983"/>
      </w:tblGrid>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DE9B"/>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OUTCOME</w:t>
            </w:r>
          </w:p>
        </w:tc>
        <w:tc>
          <w:tcPr>
            <w:tcW w:w="0" w:type="auto"/>
            <w:tcBorders>
              <w:top w:val="single" w:sz="12" w:space="0" w:color="E2D7C5"/>
              <w:left w:val="single" w:sz="12" w:space="0" w:color="E2D7C5"/>
              <w:bottom w:val="single" w:sz="12" w:space="0" w:color="E2D7C5"/>
              <w:right w:val="single" w:sz="12" w:space="0" w:color="E2D7C5"/>
            </w:tcBorders>
            <w:shd w:val="clear" w:color="auto" w:fill="FFDE9B"/>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POINT VALUE</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Board-Recognized Diploma</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100</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GED</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75</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Still in School</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70</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Certificate of Program Completion</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25</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Dropout</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0</w:t>
            </w:r>
          </w:p>
        </w:tc>
      </w:tr>
    </w:tbl>
    <w:p w:rsidR="00DC12F9" w:rsidRPr="00DC12F9" w:rsidRDefault="00DC12F9" w:rsidP="00DC12F9">
      <w:pPr>
        <w:shd w:val="clear" w:color="auto" w:fill="E2E0E9"/>
        <w:spacing w:before="135" w:after="15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The weighted index points are totaled and then divided by the sum of cohort students and carryover students who earned a credential or stayed in school, plus all cohort and carryover students who dropped out or left school without earning a credential. In the following example, the 80 students in a school earn a total of 7,155 points and achieve a GCI of 89. </w:t>
      </w:r>
    </w:p>
    <w:tbl>
      <w:tblPr>
        <w:tblW w:w="4800" w:type="pct"/>
        <w:tblCellSpacing w:w="15" w:type="dxa"/>
        <w:tblBorders>
          <w:top w:val="single" w:sz="12" w:space="0" w:color="E2D7C5"/>
          <w:left w:val="single" w:sz="12" w:space="0" w:color="E2D7C5"/>
          <w:bottom w:val="single" w:sz="12" w:space="0" w:color="E2D7C5"/>
          <w:right w:val="single" w:sz="12" w:space="0" w:color="E2D7C5"/>
        </w:tblBorders>
        <w:shd w:val="clear" w:color="auto" w:fill="FFFFFF"/>
        <w:tblCellMar>
          <w:top w:w="15" w:type="dxa"/>
          <w:left w:w="15" w:type="dxa"/>
          <w:bottom w:w="15" w:type="dxa"/>
          <w:right w:w="15" w:type="dxa"/>
        </w:tblCellMar>
        <w:tblLook w:val="04A0" w:firstRow="1" w:lastRow="0" w:firstColumn="1" w:lastColumn="0" w:noHBand="0" w:noVBand="1"/>
      </w:tblPr>
      <w:tblGrid>
        <w:gridCol w:w="3040"/>
        <w:gridCol w:w="1643"/>
        <w:gridCol w:w="1455"/>
        <w:gridCol w:w="3107"/>
      </w:tblGrid>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DE9B"/>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OUTCOME</w:t>
            </w:r>
          </w:p>
        </w:tc>
        <w:tc>
          <w:tcPr>
            <w:tcW w:w="0" w:type="auto"/>
            <w:gridSpan w:val="2"/>
            <w:tcBorders>
              <w:top w:val="single" w:sz="12" w:space="0" w:color="E2D7C5"/>
              <w:left w:val="single" w:sz="12" w:space="0" w:color="E2D7C5"/>
              <w:bottom w:val="single" w:sz="12" w:space="0" w:color="E2D7C5"/>
              <w:right w:val="single" w:sz="12" w:space="0" w:color="E2D7C5"/>
            </w:tcBorders>
            <w:shd w:val="clear" w:color="auto" w:fill="FFDE9B"/>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CALCULATION</w:t>
            </w:r>
          </w:p>
        </w:tc>
        <w:tc>
          <w:tcPr>
            <w:tcW w:w="0" w:type="auto"/>
            <w:tcBorders>
              <w:top w:val="single" w:sz="12" w:space="0" w:color="E2D7C5"/>
              <w:left w:val="single" w:sz="12" w:space="0" w:color="E2D7C5"/>
              <w:bottom w:val="single" w:sz="12" w:space="0" w:color="E2D7C5"/>
              <w:right w:val="single" w:sz="12" w:space="0" w:color="E2D7C5"/>
            </w:tcBorders>
            <w:shd w:val="clear" w:color="auto" w:fill="FFDE9B"/>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RESULTS</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 </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 of students</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Point value</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 of students x Point value</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Diplomas</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66</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100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6,600</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GEDs</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3</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75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225</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Certificates of Completion</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50</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Students still in school</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4</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70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280</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Dropouts</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0</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TOTALS</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80</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 </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7,155</w:t>
            </w:r>
          </w:p>
        </w:tc>
      </w:tr>
      <w:tr w:rsidR="00DC12F9" w:rsidRPr="00DC12F9" w:rsidTr="00DC12F9">
        <w:trPr>
          <w:tblCellSpacing w:w="15" w:type="dxa"/>
        </w:trPr>
        <w:tc>
          <w:tcPr>
            <w:tcW w:w="0" w:type="auto"/>
            <w:gridSpan w:val="4"/>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jc w:val="center"/>
              <w:rPr>
                <w:rFonts w:ascii="Arial" w:eastAsia="Times New Roman" w:hAnsi="Arial" w:cs="Arial"/>
                <w:color w:val="000000"/>
              </w:rPr>
            </w:pPr>
            <w:r w:rsidRPr="00DC12F9">
              <w:rPr>
                <w:rFonts w:ascii="Arial" w:eastAsia="Times New Roman" w:hAnsi="Arial" w:cs="Arial"/>
                <w:color w:val="000000"/>
              </w:rPr>
              <w:t>GCI: 7,155 ÷ 80 = 89</w:t>
            </w:r>
          </w:p>
        </w:tc>
      </w:tr>
    </w:tbl>
    <w:p w:rsidR="00DC12F9" w:rsidRPr="00DC12F9" w:rsidRDefault="00DC12F9" w:rsidP="00DC12F9">
      <w:pPr>
        <w:shd w:val="clear" w:color="auto" w:fill="E2E0E9"/>
        <w:spacing w:before="135" w:after="15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 GCI of at least 85 is required for full accreditation. High schools are eligible for a rating of Provisionally Accredited-Graduation Rate until 2015-2016, as shown in the following table. </w:t>
      </w:r>
    </w:p>
    <w:tbl>
      <w:tblPr>
        <w:tblW w:w="4800" w:type="pct"/>
        <w:tblCellSpacing w:w="15" w:type="dxa"/>
        <w:tblBorders>
          <w:top w:val="single" w:sz="12" w:space="0" w:color="E2D7C5"/>
          <w:left w:val="single" w:sz="12" w:space="0" w:color="E2D7C5"/>
          <w:bottom w:val="single" w:sz="12" w:space="0" w:color="E2D7C5"/>
          <w:right w:val="single" w:sz="12" w:space="0" w:color="E2D7C5"/>
        </w:tblBorders>
        <w:shd w:val="clear" w:color="auto" w:fill="FFFFFF"/>
        <w:tblCellMar>
          <w:top w:w="15" w:type="dxa"/>
          <w:left w:w="15" w:type="dxa"/>
          <w:bottom w:w="15" w:type="dxa"/>
          <w:right w:w="15" w:type="dxa"/>
        </w:tblCellMar>
        <w:tblLook w:val="04A0" w:firstRow="1" w:lastRow="0" w:firstColumn="1" w:lastColumn="0" w:noHBand="0" w:noVBand="1"/>
      </w:tblPr>
      <w:tblGrid>
        <w:gridCol w:w="3123"/>
        <w:gridCol w:w="3661"/>
        <w:gridCol w:w="2461"/>
      </w:tblGrid>
      <w:tr w:rsidR="00DC12F9" w:rsidRPr="00DC12F9" w:rsidTr="00DC12F9">
        <w:trPr>
          <w:tblCellSpacing w:w="15" w:type="dxa"/>
        </w:trPr>
        <w:tc>
          <w:tcPr>
            <w:tcW w:w="0" w:type="auto"/>
            <w:gridSpan w:val="3"/>
            <w:tcBorders>
              <w:top w:val="single" w:sz="12" w:space="0" w:color="E2D7C5"/>
              <w:left w:val="single" w:sz="12" w:space="0" w:color="E2D7C5"/>
              <w:bottom w:val="single" w:sz="12" w:space="0" w:color="E2D7C5"/>
              <w:right w:val="single" w:sz="12" w:space="0" w:color="E2D7C5"/>
            </w:tcBorders>
            <w:shd w:val="clear" w:color="auto" w:fill="FFDE9B"/>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PROVISIONAL ACCREDITATION BENCHMARKS</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Academic Year</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Accreditation Year</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Point Value</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2012-2013</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2013-2014</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82</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lastRenderedPageBreak/>
              <w:t>2013-2014</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2014-2015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83</w:t>
            </w:r>
          </w:p>
        </w:tc>
      </w:tr>
      <w:tr w:rsidR="00DC12F9" w:rsidRPr="00DC12F9" w:rsidTr="00DC12F9">
        <w:trPr>
          <w:tblCellSpacing w:w="15" w:type="dxa"/>
        </w:trPr>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2014-2015</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2015-2016</w:t>
            </w:r>
          </w:p>
        </w:tc>
        <w:tc>
          <w:tcPr>
            <w:tcW w:w="0" w:type="auto"/>
            <w:tcBorders>
              <w:top w:val="single" w:sz="12" w:space="0" w:color="E2D7C5"/>
              <w:left w:val="single" w:sz="12" w:space="0" w:color="E2D7C5"/>
              <w:bottom w:val="single" w:sz="12" w:space="0" w:color="E2D7C5"/>
              <w:right w:val="single" w:sz="12" w:space="0" w:color="E2D7C5"/>
            </w:tcBorders>
            <w:shd w:val="clear" w:color="auto" w:fill="FFFFFF"/>
            <w:tcMar>
              <w:top w:w="75" w:type="dxa"/>
              <w:left w:w="75" w:type="dxa"/>
              <w:bottom w:w="75" w:type="dxa"/>
              <w:right w:w="75" w:type="dxa"/>
            </w:tcMar>
            <w:hideMark/>
          </w:tcPr>
          <w:p w:rsidR="00DC12F9" w:rsidRPr="00DC12F9" w:rsidRDefault="00DC12F9" w:rsidP="00DC12F9">
            <w:pPr>
              <w:spacing w:after="0" w:line="225" w:lineRule="atLeast"/>
              <w:rPr>
                <w:rFonts w:ascii="Arial" w:eastAsia="Times New Roman" w:hAnsi="Arial" w:cs="Arial"/>
                <w:color w:val="000000"/>
              </w:rPr>
            </w:pPr>
            <w:r w:rsidRPr="00DC12F9">
              <w:rPr>
                <w:rFonts w:ascii="Arial" w:eastAsia="Times New Roman" w:hAnsi="Arial" w:cs="Arial"/>
                <w:color w:val="000000"/>
              </w:rPr>
              <w:t>84</w:t>
            </w:r>
          </w:p>
        </w:tc>
      </w:tr>
    </w:tbl>
    <w:p w:rsidR="00DC12F9" w:rsidRPr="00DC12F9" w:rsidRDefault="00DC12F9" w:rsidP="00DC12F9">
      <w:pPr>
        <w:shd w:val="clear" w:color="auto" w:fill="E2E0E9"/>
        <w:spacing w:before="135" w:after="150" w:line="319" w:lineRule="atLeast"/>
        <w:rPr>
          <w:rFonts w:ascii="Arial" w:eastAsia="Times New Roman" w:hAnsi="Arial" w:cs="Arial"/>
          <w:color w:val="000000"/>
          <w:sz w:val="19"/>
          <w:szCs w:val="19"/>
        </w:rPr>
      </w:pPr>
      <w:r w:rsidRPr="00DC12F9">
        <w:rPr>
          <w:rFonts w:ascii="Arial" w:eastAsia="Times New Roman" w:hAnsi="Arial" w:cs="Arial"/>
          <w:color w:val="000000"/>
          <w:sz w:val="19"/>
          <w:szCs w:val="19"/>
        </w:rPr>
        <w:t xml:space="preserve">A school earning a rating of Provisionally Accredited-Graduation Rate must undergo an academic review. After 2015-2016, high schools with a GCI of less than 85 will be </w:t>
      </w:r>
      <w:proofErr w:type="gramStart"/>
      <w:r w:rsidRPr="00DC12F9">
        <w:rPr>
          <w:rFonts w:ascii="Arial" w:eastAsia="Times New Roman" w:hAnsi="Arial" w:cs="Arial"/>
          <w:color w:val="000000"/>
          <w:sz w:val="19"/>
          <w:szCs w:val="19"/>
        </w:rPr>
        <w:t>Accredited</w:t>
      </w:r>
      <w:proofErr w:type="gramEnd"/>
      <w:r w:rsidRPr="00DC12F9">
        <w:rPr>
          <w:rFonts w:ascii="Arial" w:eastAsia="Times New Roman" w:hAnsi="Arial" w:cs="Arial"/>
          <w:color w:val="000000"/>
          <w:sz w:val="19"/>
          <w:szCs w:val="19"/>
        </w:rPr>
        <w:t xml:space="preserve"> with Warning</w:t>
      </w:r>
    </w:p>
    <w:p w:rsidR="00C52921" w:rsidRDefault="00C52921"/>
    <w:sectPr w:rsidR="00C52921" w:rsidSect="00C529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AC7CFA"/>
    <w:multiLevelType w:val="multilevel"/>
    <w:tmpl w:val="1D9E81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8D54AC"/>
    <w:multiLevelType w:val="multilevel"/>
    <w:tmpl w:val="35EC20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941AAA"/>
    <w:multiLevelType w:val="multilevel"/>
    <w:tmpl w:val="619E6C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842262"/>
    <w:multiLevelType w:val="multilevel"/>
    <w:tmpl w:val="5E9AC7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27759A"/>
    <w:multiLevelType w:val="multilevel"/>
    <w:tmpl w:val="A8B6C9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2F9"/>
    <w:rsid w:val="00461EDB"/>
    <w:rsid w:val="0063647E"/>
    <w:rsid w:val="00C52921"/>
    <w:rsid w:val="00DC12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A1B038-99C4-4E75-9B7B-0C76567F9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2921"/>
  </w:style>
  <w:style w:type="paragraph" w:styleId="Heading2">
    <w:name w:val="heading 2"/>
    <w:basedOn w:val="Normal"/>
    <w:link w:val="Heading2Char"/>
    <w:uiPriority w:val="9"/>
    <w:qFormat/>
    <w:rsid w:val="00DC12F9"/>
    <w:pPr>
      <w:spacing w:before="100" w:beforeAutospacing="1" w:after="100" w:afterAutospacing="1" w:line="240" w:lineRule="auto"/>
      <w:outlineLvl w:val="1"/>
    </w:pPr>
    <w:rPr>
      <w:rFonts w:ascii="Arial" w:eastAsia="Times New Roman" w:hAnsi="Arial" w:cs="Arial"/>
      <w:color w:val="333333"/>
      <w:sz w:val="37"/>
      <w:szCs w:val="37"/>
    </w:rPr>
  </w:style>
  <w:style w:type="paragraph" w:styleId="Heading3">
    <w:name w:val="heading 3"/>
    <w:basedOn w:val="Normal"/>
    <w:link w:val="Heading3Char"/>
    <w:uiPriority w:val="9"/>
    <w:qFormat/>
    <w:rsid w:val="00DC12F9"/>
    <w:pPr>
      <w:spacing w:before="100" w:beforeAutospacing="1" w:after="100" w:afterAutospacing="1" w:line="240" w:lineRule="auto"/>
      <w:outlineLvl w:val="2"/>
    </w:pPr>
    <w:rPr>
      <w:rFonts w:ascii="Times New Roman" w:eastAsia="Times New Roman" w:hAnsi="Times New Roman" w:cs="Times New Roman"/>
      <w:b/>
      <w:bCs/>
      <w:color w:val="333333"/>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12F9"/>
    <w:rPr>
      <w:rFonts w:ascii="Arial" w:eastAsia="Times New Roman" w:hAnsi="Arial" w:cs="Arial"/>
      <w:color w:val="333333"/>
      <w:sz w:val="37"/>
      <w:szCs w:val="37"/>
    </w:rPr>
  </w:style>
  <w:style w:type="character" w:customStyle="1" w:styleId="Heading3Char">
    <w:name w:val="Heading 3 Char"/>
    <w:basedOn w:val="DefaultParagraphFont"/>
    <w:link w:val="Heading3"/>
    <w:uiPriority w:val="9"/>
    <w:rsid w:val="00DC12F9"/>
    <w:rPr>
      <w:rFonts w:ascii="Times New Roman" w:eastAsia="Times New Roman" w:hAnsi="Times New Roman" w:cs="Times New Roman"/>
      <w:b/>
      <w:bCs/>
      <w:color w:val="333333"/>
      <w:sz w:val="27"/>
      <w:szCs w:val="27"/>
    </w:rPr>
  </w:style>
  <w:style w:type="character" w:styleId="Hyperlink">
    <w:name w:val="Hyperlink"/>
    <w:basedOn w:val="DefaultParagraphFont"/>
    <w:uiPriority w:val="99"/>
    <w:semiHidden/>
    <w:unhideWhenUsed/>
    <w:rsid w:val="00DC12F9"/>
    <w:rPr>
      <w:color w:val="0000FF"/>
      <w:u w:val="single"/>
      <w:bdr w:val="none" w:sz="0" w:space="0" w:color="auto" w:frame="1"/>
    </w:rPr>
  </w:style>
  <w:style w:type="character" w:styleId="Emphasis">
    <w:name w:val="Emphasis"/>
    <w:basedOn w:val="DefaultParagraphFont"/>
    <w:uiPriority w:val="20"/>
    <w:qFormat/>
    <w:rsid w:val="00DC12F9"/>
    <w:rPr>
      <w:b w:val="0"/>
      <w:bCs w:val="0"/>
      <w:i/>
      <w:iCs/>
      <w:sz w:val="24"/>
      <w:szCs w:val="24"/>
    </w:rPr>
  </w:style>
  <w:style w:type="paragraph" w:styleId="NormalWeb">
    <w:name w:val="Normal (Web)"/>
    <w:basedOn w:val="Normal"/>
    <w:uiPriority w:val="99"/>
    <w:semiHidden/>
    <w:unhideWhenUsed/>
    <w:rsid w:val="00DC12F9"/>
    <w:pPr>
      <w:spacing w:before="135" w:after="9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819587">
      <w:bodyDiv w:val="1"/>
      <w:marLeft w:val="0"/>
      <w:marRight w:val="0"/>
      <w:marTop w:val="0"/>
      <w:marBottom w:val="0"/>
      <w:divBdr>
        <w:top w:val="none" w:sz="0" w:space="0" w:color="auto"/>
        <w:left w:val="none" w:sz="0" w:space="0" w:color="auto"/>
        <w:bottom w:val="none" w:sz="0" w:space="0" w:color="auto"/>
        <w:right w:val="none" w:sz="0" w:space="0" w:color="auto"/>
      </w:divBdr>
      <w:divsChild>
        <w:div w:id="2089419537">
          <w:marLeft w:val="0"/>
          <w:marRight w:val="0"/>
          <w:marTop w:val="0"/>
          <w:marBottom w:val="0"/>
          <w:divBdr>
            <w:top w:val="none" w:sz="0" w:space="0" w:color="auto"/>
            <w:left w:val="none" w:sz="0" w:space="0" w:color="auto"/>
            <w:bottom w:val="none" w:sz="0" w:space="0" w:color="auto"/>
            <w:right w:val="none" w:sz="0" w:space="0" w:color="auto"/>
          </w:divBdr>
          <w:divsChild>
            <w:div w:id="2070109280">
              <w:marLeft w:val="0"/>
              <w:marRight w:val="0"/>
              <w:marTop w:val="0"/>
              <w:marBottom w:val="0"/>
              <w:divBdr>
                <w:top w:val="none" w:sz="0" w:space="0" w:color="auto"/>
                <w:left w:val="none" w:sz="0" w:space="0" w:color="auto"/>
                <w:bottom w:val="none" w:sz="0" w:space="0" w:color="auto"/>
                <w:right w:val="none" w:sz="0" w:space="0" w:color="auto"/>
              </w:divBdr>
              <w:divsChild>
                <w:div w:id="1432317843">
                  <w:marLeft w:val="0"/>
                  <w:marRight w:val="0"/>
                  <w:marTop w:val="0"/>
                  <w:marBottom w:val="0"/>
                  <w:divBdr>
                    <w:top w:val="none" w:sz="0" w:space="0" w:color="auto"/>
                    <w:left w:val="none" w:sz="0" w:space="0" w:color="auto"/>
                    <w:bottom w:val="none" w:sz="0" w:space="0" w:color="auto"/>
                    <w:right w:val="none" w:sz="0" w:space="0" w:color="auto"/>
                  </w:divBdr>
                  <w:divsChild>
                    <w:div w:id="950665545">
                      <w:marLeft w:val="0"/>
                      <w:marRight w:val="0"/>
                      <w:marTop w:val="0"/>
                      <w:marBottom w:val="0"/>
                      <w:divBdr>
                        <w:top w:val="none" w:sz="0" w:space="0" w:color="auto"/>
                        <w:left w:val="none" w:sz="0" w:space="0" w:color="auto"/>
                        <w:bottom w:val="none" w:sz="0" w:space="0" w:color="auto"/>
                        <w:right w:val="none" w:sz="0" w:space="0" w:color="auto"/>
                      </w:divBdr>
                      <w:divsChild>
                        <w:div w:id="2041860073">
                          <w:marLeft w:val="2501"/>
                          <w:marRight w:val="0"/>
                          <w:marTop w:val="0"/>
                          <w:marBottom w:val="0"/>
                          <w:divBdr>
                            <w:top w:val="none" w:sz="0" w:space="0" w:color="auto"/>
                            <w:left w:val="none" w:sz="0" w:space="0" w:color="auto"/>
                            <w:bottom w:val="none" w:sz="0" w:space="0" w:color="auto"/>
                            <w:right w:val="none" w:sz="0" w:space="0" w:color="auto"/>
                          </w:divBdr>
                          <w:divsChild>
                            <w:div w:id="1606691172">
                              <w:marLeft w:val="0"/>
                              <w:marRight w:val="3960"/>
                              <w:marTop w:val="0"/>
                              <w:marBottom w:val="0"/>
                              <w:divBdr>
                                <w:top w:val="none" w:sz="0" w:space="0" w:color="auto"/>
                                <w:left w:val="none" w:sz="0" w:space="0" w:color="auto"/>
                                <w:bottom w:val="none" w:sz="0" w:space="0" w:color="auto"/>
                                <w:right w:val="none" w:sz="0" w:space="0" w:color="auto"/>
                              </w:divBdr>
                              <w:divsChild>
                                <w:div w:id="1881672670">
                                  <w:marLeft w:val="0"/>
                                  <w:marRight w:val="0"/>
                                  <w:marTop w:val="150"/>
                                  <w:marBottom w:val="150"/>
                                  <w:divBdr>
                                    <w:top w:val="none" w:sz="0" w:space="0" w:color="auto"/>
                                    <w:left w:val="none" w:sz="0" w:space="0" w:color="auto"/>
                                    <w:bottom w:val="none" w:sz="0" w:space="0" w:color="auto"/>
                                    <w:right w:val="none" w:sz="0" w:space="0" w:color="auto"/>
                                  </w:divBdr>
                                  <w:divsChild>
                                    <w:div w:id="33164235">
                                      <w:marLeft w:val="0"/>
                                      <w:marRight w:val="0"/>
                                      <w:marTop w:val="0"/>
                                      <w:marBottom w:val="0"/>
                                      <w:divBdr>
                                        <w:top w:val="none" w:sz="0" w:space="0" w:color="auto"/>
                                        <w:left w:val="none" w:sz="0" w:space="0" w:color="auto"/>
                                        <w:bottom w:val="none" w:sz="0" w:space="0" w:color="auto"/>
                                        <w:right w:val="none" w:sz="0" w:space="0" w:color="auto"/>
                                      </w:divBdr>
                                    </w:div>
                                    <w:div w:id="146552693">
                                      <w:marLeft w:val="0"/>
                                      <w:marRight w:val="0"/>
                                      <w:marTop w:val="0"/>
                                      <w:marBottom w:val="0"/>
                                      <w:divBdr>
                                        <w:top w:val="none" w:sz="0" w:space="0" w:color="auto"/>
                                        <w:left w:val="none" w:sz="0" w:space="0" w:color="auto"/>
                                        <w:bottom w:val="none" w:sz="0" w:space="0" w:color="auto"/>
                                        <w:right w:val="none" w:sz="0" w:space="0" w:color="auto"/>
                                      </w:divBdr>
                                    </w:div>
                                    <w:div w:id="52189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1235</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Lee County Schools</Company>
  <LinksUpToDate>false</LinksUpToDate>
  <CharactersWithSpaces>8259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McCann, Gary</dc:creator>
  <cp:lastModifiedBy>Microsoft account</cp:lastModifiedBy>
  <cp:revision>2</cp:revision>
  <dcterms:created xsi:type="dcterms:W3CDTF">2013-10-17T13:40:00Z</dcterms:created>
  <dcterms:modified xsi:type="dcterms:W3CDTF">2013-10-17T13:40:00Z</dcterms:modified>
</cp:coreProperties>
</file>